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Lines="0" w:after="0" w:afterLines="0" w:line="1000" w:lineRule="exact"/>
        <w:ind w:left="0" w:leftChars="0" w:right="0" w:rightChars="0" w:firstLine="0" w:firstLineChars="0"/>
        <w:jc w:val="center"/>
        <w:textAlignment w:val="auto"/>
        <w:outlineLvl w:val="9"/>
        <w:rPr>
          <w:rFonts w:hint="eastAsia" w:ascii="Times New Roman" w:hAnsi="Times New Roman" w:eastAsia="方正小标宋简体"/>
          <w:b w:val="0"/>
          <w:bCs w:val="0"/>
          <w:color w:val="FF0000"/>
          <w:w w:val="66"/>
          <w:sz w:val="56"/>
          <w:szCs w:val="44"/>
          <w:lang w:val="en-US" w:eastAsia="zh-CN"/>
        </w:rPr>
      </w:pPr>
      <w:r>
        <w:rPr>
          <w:rFonts w:hint="eastAsia" w:ascii="Times New Roman" w:hAnsi="Times New Roman" w:eastAsia="方正小标宋简体"/>
          <w:b w:val="0"/>
          <w:bCs w:val="0"/>
          <w:color w:val="FF0000"/>
          <w:w w:val="66"/>
          <w:sz w:val="72"/>
          <w:szCs w:val="48"/>
          <w:lang w:val="en-US" w:eastAsia="zh-CN"/>
        </w:rPr>
        <w:t>新 县 文 化 广 电 和 旅 游 体 育 局</w:t>
      </w:r>
    </w:p>
    <w:p>
      <w:pPr>
        <w:keepNext w:val="0"/>
        <w:keepLines w:val="0"/>
        <w:pageBreakBefore w:val="0"/>
        <w:widowControl w:val="0"/>
        <w:kinsoku/>
        <w:wordWrap/>
        <w:overflowPunct/>
        <w:topLinePunct w:val="0"/>
        <w:autoSpaceDE/>
        <w:autoSpaceDN/>
        <w:bidi w:val="0"/>
        <w:adjustRightInd/>
        <w:snapToGrid/>
        <w:spacing w:line="1000" w:lineRule="exact"/>
        <w:ind w:left="0" w:leftChars="0" w:firstLine="0" w:firstLineChars="0"/>
        <w:jc w:val="center"/>
        <w:textAlignment w:val="auto"/>
        <w:rPr>
          <w:rFonts w:hint="eastAsia" w:ascii="黑体" w:hAnsi="黑体" w:eastAsia="黑体" w:cs="黑体"/>
          <w:b/>
          <w:bCs/>
          <w:sz w:val="36"/>
          <w:szCs w:val="36"/>
          <w:lang w:val="en-US" w:eastAsia="zh-CN"/>
        </w:rPr>
      </w:pPr>
      <w:r>
        <w:rPr>
          <w:rFonts w:hint="eastAsia" w:ascii="黑体" w:hAnsi="黑体" w:eastAsia="黑体" w:cs="黑体"/>
          <w:b/>
          <w:bCs/>
          <w:sz w:val="36"/>
          <w:szCs w:val="36"/>
          <w:lang w:eastAsia="zh-CN"/>
        </w:rPr>
        <mc:AlternateContent>
          <mc:Choice Requires="wps">
            <w:drawing>
              <wp:anchor distT="0" distB="0" distL="114300" distR="114300" simplePos="0" relativeHeight="251659264" behindDoc="0" locked="0" layoutInCell="1" allowOverlap="1">
                <wp:simplePos x="0" y="0"/>
                <wp:positionH relativeFrom="column">
                  <wp:posOffset>40005</wp:posOffset>
                </wp:positionH>
                <wp:positionV relativeFrom="paragraph">
                  <wp:posOffset>100965</wp:posOffset>
                </wp:positionV>
                <wp:extent cx="5610225" cy="635"/>
                <wp:effectExtent l="0" t="28575" r="9525" b="46990"/>
                <wp:wrapNone/>
                <wp:docPr id="1" name="直接连接符 1"/>
                <wp:cNvGraphicFramePr/>
                <a:graphic xmlns:a="http://schemas.openxmlformats.org/drawingml/2006/main">
                  <a:graphicData uri="http://schemas.microsoft.com/office/word/2010/wordprocessingShape">
                    <wps:wsp>
                      <wps:cNvCnPr/>
                      <wps:spPr>
                        <a:xfrm>
                          <a:off x="0" y="0"/>
                          <a:ext cx="5610225" cy="635"/>
                        </a:xfrm>
                        <a:prstGeom prst="line">
                          <a:avLst/>
                        </a:prstGeom>
                        <a:ln w="57150" cap="flat" cmpd="thickThin">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15pt;margin-top:7.95pt;height:0.05pt;width:441.75pt;z-index:251659264;mso-width-relative:page;mso-height-relative:page;" filled="f" stroked="t" coordsize="21600,21600" o:gfxdata="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ZiOFNMAAAAHAQAADwAAAAAAAAABACAAAAAiAAAAZHJzL2Rvd25yZXYu&#10;eG1sUEsBAhQAFAAAAAgAh07iQGXyBkEAAgAA+wMAAA4AAAAAAAAAAQAgAAAAIgEAAGRycy9lMm9E&#10;b2MueG1sUEsFBgAAAAAGAAYAWQEAAJQFAAAAAA==&#10;">
                <v:fill on="f" focussize="0,0"/>
                <v:stroke weight="4.5pt" color="#FF0000" linestyle="thickThin" joinstyle="round"/>
                <v:imagedata o:title=""/>
                <o:lock v:ext="edit" aspectratio="f"/>
              </v:line>
            </w:pict>
          </mc:Fallback>
        </mc:AlternateContent>
      </w:r>
      <w:r>
        <w:rPr>
          <w:rFonts w:hint="eastAsia" w:ascii="黑体" w:hAnsi="黑体" w:eastAsia="黑体" w:cs="黑体"/>
          <w:b/>
          <w:bCs/>
          <w:sz w:val="36"/>
          <w:szCs w:val="36"/>
          <w:lang w:eastAsia="zh-CN"/>
        </w:rPr>
        <w:t>新县文广旅体局开展</w:t>
      </w:r>
      <w:r>
        <w:rPr>
          <w:rFonts w:hint="eastAsia" w:ascii="黑体" w:hAnsi="黑体" w:eastAsia="黑体" w:cs="黑体"/>
          <w:b/>
          <w:bCs/>
          <w:sz w:val="36"/>
          <w:szCs w:val="36"/>
          <w:lang w:val="en-US" w:eastAsia="zh-CN"/>
        </w:rPr>
        <w:t xml:space="preserve"> 6·14“信用记录关爱日”信用体系</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建设系列宣传活动</w:t>
      </w:r>
    </w:p>
    <w:p>
      <w:pPr>
        <w:keepNext w:val="0"/>
        <w:keepLines w:val="0"/>
        <w:pageBreakBefore w:val="0"/>
        <w:widowControl w:val="0"/>
        <w:kinsoku/>
        <w:wordWrap/>
        <w:overflowPunct/>
        <w:topLinePunct w:val="0"/>
        <w:autoSpaceDE/>
        <w:autoSpaceDN/>
        <w:bidi w:val="0"/>
        <w:adjustRightInd/>
        <w:snapToGrid/>
        <w:spacing w:line="30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根据县信用办《关于开展 6·14“信用记录关爱日”暨推进新县社会信用体系建设高质量发展宣传活动的通知》要求，为进一步增强文旅市场的社会诚信意识，全面提升文旅市场</w:t>
      </w:r>
      <w:bookmarkStart w:id="0" w:name="_GoBack"/>
      <w:bookmarkEnd w:id="0"/>
      <w:r>
        <w:rPr>
          <w:rFonts w:hint="eastAsia" w:ascii="仿宋" w:hAnsi="仿宋" w:eastAsia="仿宋" w:cs="仿宋"/>
          <w:sz w:val="32"/>
          <w:szCs w:val="32"/>
          <w:lang w:val="en-US" w:eastAsia="zh-CN"/>
        </w:rPr>
        <w:t>信用环境水平，我局以 6·14“信用记录关爱日”为契机，结合市文旅局关于开展2022年文旅行业“诚信兴商宣传月”和“文旅企业服务月”相关活动要求，组织开展文旅行业信用政策宣传系列活动。</w:t>
      </w:r>
    </w:p>
    <w:p>
      <w:pPr>
        <w:keepNext w:val="0"/>
        <w:keepLines w:val="0"/>
        <w:pageBreakBefore w:val="0"/>
        <w:widowControl w:val="0"/>
        <w:numPr>
          <w:ilvl w:val="0"/>
          <w:numId w:val="1"/>
        </w:numPr>
        <w:kinsoku/>
        <w:wordWrap/>
        <w:overflowPunct/>
        <w:topLinePunct w:val="0"/>
        <w:autoSpaceDE/>
        <w:autoSpaceDN/>
        <w:bidi w:val="0"/>
        <w:adjustRightInd/>
        <w:snapToGrid/>
        <w:spacing w:line="30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组织开展信用教育学习培训活动。根据活动要求，我局组织全体干部职工学习了《信阳市公务员诚信教育知识手册》《信阳市“十四五”社会信用体系建设发展规划》《信阳市社会信用体系建设 2022 年工作要点》等相关文件精神，要求全体干部职工要充分认识到信用体系建设对规范文化旅游市场秩序的重要意义；要以身作则，全面提升信用意识，将信用体系建设的方方面面融入到工作中，发挥信用立法的保障作用，营造优良信用环境。</w:t>
      </w:r>
    </w:p>
    <w:p>
      <w:pPr>
        <w:keepNext w:val="0"/>
        <w:keepLines w:val="0"/>
        <w:pageBreakBefore w:val="0"/>
        <w:widowControl w:val="0"/>
        <w:numPr>
          <w:ilvl w:val="0"/>
          <w:numId w:val="1"/>
        </w:numPr>
        <w:kinsoku/>
        <w:wordWrap/>
        <w:overflowPunct/>
        <w:topLinePunct w:val="0"/>
        <w:autoSpaceDE/>
        <w:autoSpaceDN/>
        <w:bidi w:val="0"/>
        <w:adjustRightInd/>
        <w:snapToGrid/>
        <w:spacing w:line="30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开展企业信用宣传相关活动。结合市文旅局关于开展2022年文旅行业“诚信兴商宣传月”和“文旅企业服务月”相关活动要求，及“万人助万企”相关工作，组织帮企干部和市场执法人员，加强企业走访工作，开展对文旅行业企业关于信用平台“双公示”、企业信用修复，“信易游”等信用体系建设相关政策的宣传工作，提升企业守信意识和信用政策知晓率，进一步推进新县文旅行业社会信用体系建设高质量发展。</w:t>
      </w:r>
    </w:p>
    <w:p>
      <w:pPr>
        <w:keepNext w:val="0"/>
        <w:keepLines w:val="0"/>
        <w:pageBreakBefore w:val="0"/>
        <w:widowControl w:val="0"/>
        <w:numPr>
          <w:numId w:val="0"/>
        </w:numPr>
        <w:kinsoku/>
        <w:wordWrap/>
        <w:overflowPunct/>
        <w:topLinePunct w:val="0"/>
        <w:autoSpaceDE/>
        <w:autoSpaceDN/>
        <w:bidi w:val="0"/>
        <w:adjustRightInd/>
        <w:snapToGrid/>
        <w:spacing w:line="300" w:lineRule="auto"/>
        <w:jc w:val="center"/>
        <w:textAlignment w:val="auto"/>
        <w:rPr>
          <w:rFonts w:hint="eastAsia" w:ascii="仿宋" w:hAnsi="仿宋" w:eastAsia="仿宋" w:cs="仿宋"/>
          <w:sz w:val="32"/>
          <w:szCs w:val="32"/>
          <w:lang w:val="en-US" w:eastAsia="zh-CN"/>
        </w:rPr>
      </w:pPr>
      <w:r>
        <w:drawing>
          <wp:inline distT="0" distB="0" distL="114300" distR="114300">
            <wp:extent cx="4770755" cy="3306445"/>
            <wp:effectExtent l="0" t="0" r="4445"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4770755" cy="33064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default" w:ascii="Times New Roman" w:hAnsi="Times New Roman" w:eastAsiaTheme="minorEastAsia" w:cstheme="minorEastAsia"/>
          <w:b/>
          <w:bCs w:val="0"/>
          <w:color w:val="auto"/>
          <w:sz w:val="36"/>
          <w:szCs w:val="36"/>
          <w:lang w:val="en-US" w:eastAsia="zh-CN"/>
        </w:rPr>
      </w:pPr>
      <w:r>
        <w:rPr>
          <w:rFonts w:hint="eastAsia" w:ascii="仿宋" w:hAnsi="仿宋" w:eastAsia="仿宋" w:cs="仿宋"/>
          <w:sz w:val="32"/>
          <w:szCs w:val="32"/>
          <w:lang w:val="en-US" w:eastAsia="zh-CN"/>
        </w:rPr>
        <w:drawing>
          <wp:inline distT="0" distB="0" distL="114300" distR="114300">
            <wp:extent cx="4794250" cy="3597910"/>
            <wp:effectExtent l="0" t="0" r="6350" b="8890"/>
            <wp:docPr id="2" name="图片 2" descr="2e861e087efc04c35e4a68e383b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e861e087efc04c35e4a68e383b0200"/>
                    <pic:cNvPicPr>
                      <a:picLocks noChangeAspect="1"/>
                    </pic:cNvPicPr>
                  </pic:nvPicPr>
                  <pic:blipFill>
                    <a:blip r:embed="rId7"/>
                    <a:stretch>
                      <a:fillRect/>
                    </a:stretch>
                  </pic:blipFill>
                  <pic:spPr>
                    <a:xfrm>
                      <a:off x="0" y="0"/>
                      <a:ext cx="4794250" cy="3597910"/>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4813300" cy="3609975"/>
            <wp:effectExtent l="0" t="0" r="0" b="9525"/>
            <wp:docPr id="4" name="图片 4" descr="e6c646468b3f9e809a62074ccee58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6c646468b3f9e809a62074ccee580d"/>
                    <pic:cNvPicPr>
                      <a:picLocks noChangeAspect="1"/>
                    </pic:cNvPicPr>
                  </pic:nvPicPr>
                  <pic:blipFill>
                    <a:blip r:embed="rId8"/>
                    <a:stretch>
                      <a:fillRect/>
                    </a:stretch>
                  </pic:blipFill>
                  <pic:spPr>
                    <a:xfrm>
                      <a:off x="0" y="0"/>
                      <a:ext cx="4813300" cy="3609975"/>
                    </a:xfrm>
                    <a:prstGeom prst="rect">
                      <a:avLst/>
                    </a:prstGeom>
                  </pic:spPr>
                </pic:pic>
              </a:graphicData>
            </a:graphic>
          </wp:inline>
        </w:drawing>
      </w:r>
    </w:p>
    <w:sectPr>
      <w:pgSz w:w="11906" w:h="16838"/>
      <w:pgMar w:top="1440" w:right="1349" w:bottom="1043" w:left="1519"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C66C6E"/>
    <w:multiLevelType w:val="singleLevel"/>
    <w:tmpl w:val="4CC66C6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NiNjUwYzIzNDg4MWVjM2U0NDkxYmViNTRjYmNmMjcifQ=="/>
  </w:docVars>
  <w:rsids>
    <w:rsidRoot w:val="00000000"/>
    <w:rsid w:val="00152432"/>
    <w:rsid w:val="019C0247"/>
    <w:rsid w:val="035C4A4F"/>
    <w:rsid w:val="045D7294"/>
    <w:rsid w:val="04B14BF5"/>
    <w:rsid w:val="06123C02"/>
    <w:rsid w:val="08D651FC"/>
    <w:rsid w:val="0C790247"/>
    <w:rsid w:val="0D825595"/>
    <w:rsid w:val="10B76F2C"/>
    <w:rsid w:val="119C4C5F"/>
    <w:rsid w:val="129E5995"/>
    <w:rsid w:val="14550DBC"/>
    <w:rsid w:val="14EF6396"/>
    <w:rsid w:val="17AA5F91"/>
    <w:rsid w:val="197E2939"/>
    <w:rsid w:val="1FB361D8"/>
    <w:rsid w:val="202A4A34"/>
    <w:rsid w:val="20B5571A"/>
    <w:rsid w:val="21352658"/>
    <w:rsid w:val="21942FF1"/>
    <w:rsid w:val="21D84605"/>
    <w:rsid w:val="240756F0"/>
    <w:rsid w:val="26CC18EF"/>
    <w:rsid w:val="27D94F5D"/>
    <w:rsid w:val="282A6E16"/>
    <w:rsid w:val="2C341E21"/>
    <w:rsid w:val="2FE40792"/>
    <w:rsid w:val="2FF05311"/>
    <w:rsid w:val="35946BC7"/>
    <w:rsid w:val="37F6225E"/>
    <w:rsid w:val="38374C41"/>
    <w:rsid w:val="3A773832"/>
    <w:rsid w:val="3C82643D"/>
    <w:rsid w:val="3E4C6A1D"/>
    <w:rsid w:val="3FC63480"/>
    <w:rsid w:val="407F5911"/>
    <w:rsid w:val="4A2E5EC7"/>
    <w:rsid w:val="4DF532C3"/>
    <w:rsid w:val="50942418"/>
    <w:rsid w:val="548740A6"/>
    <w:rsid w:val="58C15FF7"/>
    <w:rsid w:val="5A5A4D97"/>
    <w:rsid w:val="64667C6A"/>
    <w:rsid w:val="66B279E9"/>
    <w:rsid w:val="679115D3"/>
    <w:rsid w:val="6AC6765E"/>
    <w:rsid w:val="6D7C4899"/>
    <w:rsid w:val="708E4466"/>
    <w:rsid w:val="712A7CF5"/>
    <w:rsid w:val="777403DD"/>
    <w:rsid w:val="7B81591B"/>
    <w:rsid w:val="7D6514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00" w:lineRule="exact"/>
      <w:ind w:firstLine="200" w:firstLineChars="200"/>
    </w:pPr>
    <w:rPr>
      <w:rFonts w:ascii="宋体" w:hAnsi="宋体" w:eastAsia="宋体" w:cs="宋体"/>
      <w:sz w:val="24"/>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jc w:val="left"/>
    </w:pPr>
    <w:rPr>
      <w:sz w:val="18"/>
      <w:szCs w:val="18"/>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585</Words>
  <Characters>597</Characters>
  <Lines>0</Lines>
  <Paragraphs>0</Paragraphs>
  <TotalTime>6</TotalTime>
  <ScaleCrop>false</ScaleCrop>
  <LinksUpToDate>false</LinksUpToDate>
  <CharactersWithSpaces>613</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文广新局</cp:lastModifiedBy>
  <cp:lastPrinted>2021-03-29T02:59:00Z</cp:lastPrinted>
  <dcterms:modified xsi:type="dcterms:W3CDTF">2022-08-01T01:25:58Z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310FAD727520443FB823DB9DE9B825AD</vt:lpwstr>
  </property>
  <property fmtid="{D5CDD505-2E9C-101B-9397-08002B2CF9AE}" pid="4" name="commondata">
    <vt:lpwstr>eyJoZGlkIjoiNGNiNjUwYzIzNDg4MWVjM2U0NDkxYmViNTRjYmNmMjcifQ==</vt:lpwstr>
  </property>
</Properties>
</file>